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4D2004" w:rsidTr="001F5485">
        <w:trPr>
          <w:trHeight w:val="535"/>
        </w:trPr>
        <w:tc>
          <w:tcPr>
            <w:tcW w:w="3202" w:type="dxa"/>
          </w:tcPr>
          <w:p w:rsidR="004D2004" w:rsidRPr="00D22182" w:rsidRDefault="004D2004" w:rsidP="001F5485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</w:rPr>
              <w:t>3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810</w:t>
            </w:r>
          </w:p>
          <w:p w:rsidR="004D2004" w:rsidRDefault="004D2004" w:rsidP="001F5485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27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veebruar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4D2004" w:rsidRDefault="004D2004" w:rsidP="004D2004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CA31997" wp14:editId="38196D1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27A6D16" wp14:editId="6DB7B025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4D2004" w:rsidRPr="00645EC9" w:rsidRDefault="004D2004" w:rsidP="004D2004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4D2004" w:rsidRDefault="004D2004" w:rsidP="004D2004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4D2004" w:rsidRPr="00C47DC1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</w:t>
      </w:r>
      <w:r>
        <w:rPr>
          <w:rFonts w:ascii="Times New Roman" w:hAnsi="Times New Roman" w:cs="Times New Roman"/>
          <w:sz w:val="24"/>
          <w:lang w:val="et-EE"/>
        </w:rPr>
        <w:t>3</w:t>
      </w:r>
      <w:r>
        <w:rPr>
          <w:rFonts w:ascii="Times New Roman" w:hAnsi="Times New Roman" w:cs="Times New Roman"/>
          <w:sz w:val="24"/>
          <w:lang w:val="et-EE"/>
        </w:rPr>
        <w:t>-</w:t>
      </w:r>
      <w:r>
        <w:rPr>
          <w:rFonts w:ascii="Times New Roman" w:hAnsi="Times New Roman" w:cs="Times New Roman"/>
          <w:sz w:val="24"/>
          <w:lang w:val="et-EE"/>
        </w:rPr>
        <w:t>810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proofErr w:type="spellStart"/>
      <w:r w:rsidRPr="004D2004">
        <w:rPr>
          <w:rFonts w:ascii="Times New Roman" w:hAnsi="Times New Roman" w:cs="Times New Roman"/>
          <w:sz w:val="24"/>
          <w:lang w:val="et-EE"/>
        </w:rPr>
        <w:t>Gotoship</w:t>
      </w:r>
      <w:proofErr w:type="spellEnd"/>
      <w:r w:rsidRPr="004D2004">
        <w:rPr>
          <w:rFonts w:ascii="Times New Roman" w:hAnsi="Times New Roman" w:cs="Times New Roman"/>
          <w:sz w:val="24"/>
          <w:lang w:val="et-EE"/>
        </w:rPr>
        <w:t xml:space="preserve"> OÜ (likvideerimisel)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Pr="00901322">
        <w:rPr>
          <w:rFonts w:ascii="Times New Roman" w:hAnsi="Times New Roman" w:cs="Times New Roman"/>
          <w:sz w:val="24"/>
          <w:lang w:val="et-EE"/>
        </w:rPr>
        <w:t>avaldus pankroti väljakuulutamiseks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4D2004" w:rsidRPr="00645EC9" w:rsidRDefault="004D2004" w:rsidP="004D2004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13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märts</w:t>
      </w:r>
      <w:bookmarkStart w:id="0" w:name="_GoBack"/>
      <w:bookmarkEnd w:id="0"/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4D2004" w:rsidRPr="00C47DC1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4D2004" w:rsidRPr="00C47DC1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:rsidR="004D2004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Eva-Liis </w:t>
      </w:r>
      <w:proofErr w:type="spellStart"/>
      <w:r>
        <w:rPr>
          <w:rFonts w:ascii="Times New Roman" w:hAnsi="Times New Roman" w:cs="Times New Roman"/>
          <w:sz w:val="24"/>
          <w:lang w:val="et-EE"/>
        </w:rPr>
        <w:t>Bome</w:t>
      </w:r>
      <w:proofErr w:type="spellEnd"/>
    </w:p>
    <w:p w:rsidR="004D2004" w:rsidRPr="002844BE" w:rsidRDefault="004D2004" w:rsidP="004D2004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:rsidR="004D2004" w:rsidRDefault="004D2004" w:rsidP="004D2004"/>
    <w:p w:rsidR="004D2004" w:rsidRDefault="004D2004" w:rsidP="004D2004"/>
    <w:p w:rsidR="004D2004" w:rsidRDefault="004D2004" w:rsidP="004D2004"/>
    <w:p w:rsidR="004D2004" w:rsidRDefault="004D2004" w:rsidP="004D2004"/>
    <w:p w:rsidR="004D2004" w:rsidRDefault="004D2004" w:rsidP="004D2004"/>
    <w:p w:rsidR="004D2004" w:rsidRDefault="004D2004" w:rsidP="004D2004"/>
    <w:p w:rsidR="004D2004" w:rsidRDefault="004D2004" w:rsidP="004D2004"/>
    <w:p w:rsidR="004D2004" w:rsidRDefault="004D2004" w:rsidP="004D2004"/>
    <w:p w:rsidR="004D2004" w:rsidRDefault="004D2004" w:rsidP="004D2004"/>
    <w:p w:rsidR="00C37234" w:rsidRDefault="00C37234"/>
    <w:sectPr w:rsidR="00C37234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4D2004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43DE7" wp14:editId="0C779DEA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4D2004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4D2004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4D2004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43DE7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4D2004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4D2004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4D2004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4D2004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2C759" wp14:editId="0606659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151A0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4"/>
    <w:rsid w:val="004D2004"/>
    <w:rsid w:val="00C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910"/>
  <w15:chartTrackingRefBased/>
  <w15:docId w15:val="{92B43845-8A3B-429A-9AF9-1EFC911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D2004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D2004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2004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4D200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D2004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D200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D2004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4D200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4D200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2023-02-27T12:47:00Z</dcterms:created>
  <dcterms:modified xsi:type="dcterms:W3CDTF">2023-02-27T12:48:00Z</dcterms:modified>
</cp:coreProperties>
</file>